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3FAB" w14:textId="77777777" w:rsidR="00A21EED" w:rsidRPr="002B0000" w:rsidRDefault="00A21EED" w:rsidP="00A21EED">
      <w:pPr>
        <w:spacing w:after="0" w:line="240" w:lineRule="auto"/>
        <w:rPr>
          <w:b/>
          <w:color w:val="ED7D31" w:themeColor="accent2"/>
          <w:sz w:val="18"/>
          <w:szCs w:val="18"/>
        </w:rPr>
      </w:pPr>
      <w:r w:rsidRPr="002B0000">
        <w:rPr>
          <w:b/>
          <w:color w:val="ED7D31" w:themeColor="accent2"/>
          <w:sz w:val="18"/>
          <w:szCs w:val="18"/>
        </w:rPr>
        <w:t>PROGRAMUL EDUCAȚIE ȘI OCUPARE 2021-2027</w:t>
      </w:r>
    </w:p>
    <w:p w14:paraId="3097819A" w14:textId="77777777" w:rsidR="00A21EED" w:rsidRPr="00F17485" w:rsidRDefault="00A21EED" w:rsidP="00A21EED">
      <w:pPr>
        <w:spacing w:after="0" w:line="240" w:lineRule="auto"/>
        <w:rPr>
          <w:sz w:val="16"/>
          <w:szCs w:val="16"/>
        </w:rPr>
      </w:pPr>
      <w:r w:rsidRPr="00F17485">
        <w:rPr>
          <w:sz w:val="16"/>
          <w:szCs w:val="16"/>
        </w:rPr>
        <w:t>Prioritate: 4. Antreprenoriat și economie socială</w:t>
      </w:r>
    </w:p>
    <w:p w14:paraId="3F53BBCD" w14:textId="404E2D80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Obiectiv specific: ESO4.1. Îmbunătățirea accesului la piața muncii și măsuri de activare pentru toate persoanele aflate în căutarea unui loc de muncă, în special pentru tineri, îndeosebi prin implementarea Garanț</w:t>
      </w:r>
      <w:r w:rsidR="00264122">
        <w:rPr>
          <w:sz w:val="16"/>
          <w:szCs w:val="16"/>
        </w:rPr>
        <w:t>i</w:t>
      </w:r>
      <w:r w:rsidRPr="00F17485">
        <w:rPr>
          <w:sz w:val="16"/>
          <w:szCs w:val="16"/>
        </w:rPr>
        <w:t>ei pentru tineret, pentru șomerii de lungă durată și grupurile defavorizate de pe piața muncii și pentru persoanele inactive, precum și prin promovarea desfășurării de activități independente și a economiei sociale (FSE+). Acțiunea 4.a.2 Sprijin pentru dezvoltarea antreprenoriatului</w:t>
      </w:r>
    </w:p>
    <w:p w14:paraId="0A586C8F" w14:textId="77777777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Apel: PEO/103/PEO_P4/OP4/ESO4.1/PEO_A52 - Sprijin pentru înființarea de întreprinderi sociale în mediul urban - Regiuni mai putin dezvoltate</w:t>
      </w:r>
    </w:p>
    <w:p w14:paraId="7D496F8E" w14:textId="77777777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Cod SMIS: 313367</w:t>
      </w:r>
    </w:p>
    <w:p w14:paraId="054990FA" w14:textId="77777777" w:rsidR="00A21EED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Titlu Proiect: Dinamism și dezvoltare urbană prin economia socială</w:t>
      </w:r>
    </w:p>
    <w:p w14:paraId="4051B76C" w14:textId="77777777" w:rsidR="0055537C" w:rsidRDefault="0055537C" w:rsidP="00A21EED">
      <w:pPr>
        <w:spacing w:after="0" w:line="240" w:lineRule="auto"/>
        <w:jc w:val="both"/>
        <w:rPr>
          <w:sz w:val="16"/>
          <w:szCs w:val="16"/>
        </w:rPr>
      </w:pPr>
    </w:p>
    <w:p w14:paraId="62045127" w14:textId="77777777" w:rsidR="001F786B" w:rsidRDefault="001F786B" w:rsidP="009840B7">
      <w:pPr>
        <w:jc w:val="center"/>
        <w:rPr>
          <w:b/>
          <w:bCs/>
          <w:sz w:val="28"/>
          <w:szCs w:val="28"/>
          <w:lang w:val="en-GB"/>
        </w:rPr>
      </w:pPr>
    </w:p>
    <w:p w14:paraId="6D5A089E" w14:textId="1658A6D1" w:rsidR="00446D6D" w:rsidRPr="00446D6D" w:rsidRDefault="00446D6D" w:rsidP="009840B7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446D6D">
        <w:rPr>
          <w:b/>
          <w:bCs/>
          <w:sz w:val="28"/>
          <w:szCs w:val="28"/>
          <w:lang w:val="en-GB"/>
        </w:rPr>
        <w:t>Primul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pas </w:t>
      </w:r>
      <w:proofErr w:type="spellStart"/>
      <w:r w:rsidRPr="00446D6D">
        <w:rPr>
          <w:b/>
          <w:bCs/>
          <w:sz w:val="28"/>
          <w:szCs w:val="28"/>
          <w:lang w:val="en-GB"/>
        </w:rPr>
        <w:t>concret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: </w:t>
      </w:r>
      <w:proofErr w:type="spellStart"/>
      <w:r w:rsidRPr="00446D6D">
        <w:rPr>
          <w:b/>
          <w:bCs/>
          <w:sz w:val="28"/>
          <w:szCs w:val="28"/>
          <w:lang w:val="en-GB"/>
        </w:rPr>
        <w:t>finanțarea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prinde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contur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, </w:t>
      </w:r>
      <w:proofErr w:type="spellStart"/>
      <w:r w:rsidRPr="00446D6D">
        <w:rPr>
          <w:b/>
          <w:bCs/>
          <w:sz w:val="28"/>
          <w:szCs w:val="28"/>
          <w:lang w:val="en-GB"/>
        </w:rPr>
        <w:t>iar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întreprinderile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sociale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își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încep</w:t>
      </w:r>
      <w:proofErr w:type="spellEnd"/>
      <w:r w:rsidRPr="00446D6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446D6D">
        <w:rPr>
          <w:b/>
          <w:bCs/>
          <w:sz w:val="28"/>
          <w:szCs w:val="28"/>
          <w:lang w:val="en-GB"/>
        </w:rPr>
        <w:t>activitatea</w:t>
      </w:r>
      <w:proofErr w:type="spellEnd"/>
    </w:p>
    <w:p w14:paraId="6A6C489F" w14:textId="77777777" w:rsidR="001F786B" w:rsidRDefault="001F786B" w:rsidP="001F786B">
      <w:pPr>
        <w:jc w:val="both"/>
        <w:rPr>
          <w:lang w:val="en-GB"/>
        </w:rPr>
      </w:pPr>
    </w:p>
    <w:p w14:paraId="1739AC4B" w14:textId="77777777" w:rsidR="001F786B" w:rsidRPr="00446D6D" w:rsidRDefault="001F786B" w:rsidP="001F786B">
      <w:pPr>
        <w:jc w:val="both"/>
        <w:rPr>
          <w:lang w:val="en-GB"/>
        </w:rPr>
      </w:pPr>
      <w:proofErr w:type="spellStart"/>
      <w:r w:rsidRPr="00446D6D">
        <w:rPr>
          <w:lang w:val="en-GB"/>
        </w:rPr>
        <w:t>După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etapa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în</w:t>
      </w:r>
      <w:proofErr w:type="spellEnd"/>
      <w:r w:rsidRPr="00446D6D">
        <w:rPr>
          <w:lang w:val="en-GB"/>
        </w:rPr>
        <w:t xml:space="preserve"> care </w:t>
      </w:r>
      <w:proofErr w:type="spellStart"/>
      <w:r w:rsidRPr="00446D6D">
        <w:rPr>
          <w:lang w:val="en-GB"/>
        </w:rPr>
        <w:t>ideile</w:t>
      </w:r>
      <w:proofErr w:type="spellEnd"/>
      <w:r w:rsidRPr="00446D6D">
        <w:rPr>
          <w:lang w:val="en-GB"/>
        </w:rPr>
        <w:t xml:space="preserve"> au </w:t>
      </w:r>
      <w:proofErr w:type="spellStart"/>
      <w:r w:rsidRPr="00446D6D">
        <w:rPr>
          <w:lang w:val="en-GB"/>
        </w:rPr>
        <w:t>fost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conturate</w:t>
      </w:r>
      <w:proofErr w:type="spellEnd"/>
      <w:r w:rsidRPr="00446D6D">
        <w:rPr>
          <w:lang w:val="en-GB"/>
        </w:rPr>
        <w:t xml:space="preserve">, evaluate </w:t>
      </w:r>
      <w:proofErr w:type="spellStart"/>
      <w:r w:rsidRPr="00446D6D">
        <w:rPr>
          <w:lang w:val="en-GB"/>
        </w:rPr>
        <w:t>și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transformate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în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planuri</w:t>
      </w:r>
      <w:proofErr w:type="spellEnd"/>
      <w:r w:rsidRPr="00446D6D">
        <w:rPr>
          <w:lang w:val="en-GB"/>
        </w:rPr>
        <w:t xml:space="preserve"> de </w:t>
      </w:r>
      <w:proofErr w:type="spellStart"/>
      <w:r w:rsidRPr="00446D6D">
        <w:rPr>
          <w:lang w:val="en-GB"/>
        </w:rPr>
        <w:t>afaceri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viabile</w:t>
      </w:r>
      <w:proofErr w:type="spellEnd"/>
      <w:r w:rsidRPr="00446D6D">
        <w:rPr>
          <w:lang w:val="en-GB"/>
        </w:rPr>
        <w:t xml:space="preserve">, </w:t>
      </w:r>
      <w:proofErr w:type="spellStart"/>
      <w:r w:rsidRPr="00446D6D">
        <w:rPr>
          <w:lang w:val="en-GB"/>
        </w:rPr>
        <w:t>Proiectul</w:t>
      </w:r>
      <w:proofErr w:type="spellEnd"/>
      <w:r w:rsidRPr="00446D6D">
        <w:rPr>
          <w:lang w:val="en-GB"/>
        </w:rPr>
        <w:t xml:space="preserve"> </w:t>
      </w:r>
      <w:r w:rsidRPr="00446D6D">
        <w:rPr>
          <w:b/>
          <w:bCs/>
          <w:lang w:val="en-GB"/>
        </w:rPr>
        <w:t>„</w:t>
      </w:r>
      <w:proofErr w:type="spellStart"/>
      <w:r w:rsidRPr="00446D6D">
        <w:rPr>
          <w:b/>
          <w:bCs/>
          <w:lang w:val="en-GB"/>
        </w:rPr>
        <w:t>Dinamism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și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dezvoltare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urbană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prin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economia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socială</w:t>
      </w:r>
      <w:proofErr w:type="spellEnd"/>
      <w:r w:rsidRPr="00446D6D">
        <w:rPr>
          <w:b/>
          <w:bCs/>
          <w:lang w:val="en-GB"/>
        </w:rPr>
        <w:t>” (Cod SMIS 313367)</w:t>
      </w:r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intră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într</w:t>
      </w:r>
      <w:proofErr w:type="spellEnd"/>
      <w:r w:rsidRPr="00446D6D">
        <w:rPr>
          <w:lang w:val="en-GB"/>
        </w:rPr>
        <w:t xml:space="preserve">-un moment </w:t>
      </w:r>
      <w:proofErr w:type="spellStart"/>
      <w:r w:rsidRPr="00446D6D">
        <w:rPr>
          <w:lang w:val="en-GB"/>
        </w:rPr>
        <w:t>definitoriu</w:t>
      </w:r>
      <w:proofErr w:type="spellEnd"/>
      <w:r w:rsidRPr="00446D6D">
        <w:rPr>
          <w:lang w:val="en-GB"/>
        </w:rPr>
        <w:t xml:space="preserve">: </w:t>
      </w:r>
      <w:proofErr w:type="spellStart"/>
      <w:r w:rsidRPr="00446D6D">
        <w:rPr>
          <w:b/>
          <w:bCs/>
          <w:lang w:val="en-GB"/>
        </w:rPr>
        <w:t>acordarea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primei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tranșe</w:t>
      </w:r>
      <w:proofErr w:type="spellEnd"/>
      <w:r w:rsidRPr="00446D6D">
        <w:rPr>
          <w:b/>
          <w:bCs/>
          <w:lang w:val="en-GB"/>
        </w:rPr>
        <w:t xml:space="preserve"> de </w:t>
      </w:r>
      <w:proofErr w:type="spellStart"/>
      <w:r w:rsidRPr="00446D6D">
        <w:rPr>
          <w:b/>
          <w:bCs/>
          <w:lang w:val="en-GB"/>
        </w:rPr>
        <w:t>finanțare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și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demararea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efectivă</w:t>
      </w:r>
      <w:proofErr w:type="spellEnd"/>
      <w:r w:rsidRPr="00446D6D">
        <w:rPr>
          <w:b/>
          <w:bCs/>
          <w:lang w:val="en-GB"/>
        </w:rPr>
        <w:t xml:space="preserve"> </w:t>
      </w:r>
      <w:proofErr w:type="gramStart"/>
      <w:r w:rsidRPr="00446D6D">
        <w:rPr>
          <w:b/>
          <w:bCs/>
          <w:lang w:val="en-GB"/>
        </w:rPr>
        <w:t>a</w:t>
      </w:r>
      <w:proofErr w:type="gram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activităților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întreprinderilor</w:t>
      </w:r>
      <w:proofErr w:type="spellEnd"/>
      <w:r w:rsidRPr="00446D6D">
        <w:rPr>
          <w:b/>
          <w:bCs/>
          <w:lang w:val="en-GB"/>
        </w:rPr>
        <w:t xml:space="preserve"> </w:t>
      </w:r>
      <w:proofErr w:type="spellStart"/>
      <w:r w:rsidRPr="00446D6D">
        <w:rPr>
          <w:b/>
          <w:bCs/>
          <w:lang w:val="en-GB"/>
        </w:rPr>
        <w:t>sociale</w:t>
      </w:r>
      <w:proofErr w:type="spellEnd"/>
      <w:r w:rsidRPr="00446D6D">
        <w:rPr>
          <w:lang w:val="en-GB"/>
        </w:rPr>
        <w:t xml:space="preserve"> </w:t>
      </w:r>
      <w:proofErr w:type="spellStart"/>
      <w:r w:rsidRPr="00446D6D">
        <w:rPr>
          <w:lang w:val="en-GB"/>
        </w:rPr>
        <w:t>selectate</w:t>
      </w:r>
      <w:proofErr w:type="spellEnd"/>
      <w:r w:rsidRPr="00446D6D">
        <w:rPr>
          <w:lang w:val="en-GB"/>
        </w:rPr>
        <w:t>.</w:t>
      </w:r>
    </w:p>
    <w:p w14:paraId="1F057003" w14:textId="572ADD3E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Această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etapă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reflectă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tranziția</w:t>
      </w:r>
      <w:proofErr w:type="spellEnd"/>
      <w:r w:rsidRPr="001F786B">
        <w:rPr>
          <w:lang w:val="en-GB"/>
        </w:rPr>
        <w:t xml:space="preserve"> de la </w:t>
      </w:r>
      <w:proofErr w:type="spellStart"/>
      <w:r w:rsidRPr="001F786B">
        <w:rPr>
          <w:lang w:val="en-GB"/>
        </w:rPr>
        <w:t>planificare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strategică</w:t>
      </w:r>
      <w:proofErr w:type="spellEnd"/>
      <w:r w:rsidRPr="001F786B">
        <w:rPr>
          <w:lang w:val="en-GB"/>
        </w:rPr>
        <w:t xml:space="preserve"> la </w:t>
      </w:r>
      <w:proofErr w:type="spellStart"/>
      <w:r w:rsidRPr="001F786B">
        <w:rPr>
          <w:lang w:val="en-GB"/>
        </w:rPr>
        <w:t>aplicare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practică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materializând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funcționalizarea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inițiativelor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economie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integrarea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acestora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structura</w:t>
      </w:r>
      <w:proofErr w:type="spellEnd"/>
      <w:r w:rsidRPr="001F786B">
        <w:rPr>
          <w:lang w:val="en-GB"/>
        </w:rPr>
        <w:t xml:space="preserve"> socio-</w:t>
      </w:r>
      <w:proofErr w:type="spellStart"/>
      <w:r w:rsidRPr="001F786B">
        <w:rPr>
          <w:lang w:val="en-GB"/>
        </w:rPr>
        <w:t>economică</w:t>
      </w:r>
      <w:proofErr w:type="spellEnd"/>
      <w:r w:rsidRPr="001F786B">
        <w:rPr>
          <w:lang w:val="en-GB"/>
        </w:rPr>
        <w:t xml:space="preserve"> a </w:t>
      </w:r>
      <w:proofErr w:type="spellStart"/>
      <w:r w:rsidRPr="001F786B">
        <w:rPr>
          <w:lang w:val="en-GB"/>
        </w:rPr>
        <w:t>comunităților</w:t>
      </w:r>
      <w:proofErr w:type="spellEnd"/>
      <w:r w:rsidRPr="001F786B">
        <w:rPr>
          <w:lang w:val="en-GB"/>
        </w:rPr>
        <w:t xml:space="preserve"> urbane </w:t>
      </w:r>
      <w:proofErr w:type="spellStart"/>
      <w:r w:rsidRPr="001F786B">
        <w:rPr>
          <w:lang w:val="en-GB"/>
        </w:rPr>
        <w:t>vizate</w:t>
      </w:r>
      <w:proofErr w:type="spellEnd"/>
      <w:r w:rsidRPr="001F786B">
        <w:rPr>
          <w:lang w:val="en-GB"/>
        </w:rPr>
        <w:t xml:space="preserve">.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contextul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consolidării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economiei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sociale</w:t>
      </w:r>
      <w:proofErr w:type="spellEnd"/>
      <w:r w:rsidRPr="001F786B">
        <w:rPr>
          <w:lang w:val="en-GB"/>
        </w:rPr>
        <w:t xml:space="preserve"> ca instrument de </w:t>
      </w:r>
      <w:proofErr w:type="spellStart"/>
      <w:r w:rsidRPr="001F786B">
        <w:rPr>
          <w:lang w:val="en-GB"/>
        </w:rPr>
        <w:t>incluziune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dezvoltare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durabilă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implementarea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proiectului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confirmă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coerența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metodologică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relevanța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intervenției</w:t>
      </w:r>
      <w:proofErr w:type="spellEnd"/>
      <w:r w:rsidRPr="001F786B">
        <w:rPr>
          <w:lang w:val="en-GB"/>
        </w:rPr>
        <w:t>.</w:t>
      </w:r>
    </w:p>
    <w:p w14:paraId="2EA6ED58" w14:textId="77777777" w:rsidR="001F786B" w:rsidRPr="001F786B" w:rsidRDefault="001F786B" w:rsidP="001F786B">
      <w:pPr>
        <w:jc w:val="both"/>
        <w:rPr>
          <w:b/>
          <w:bCs/>
          <w:lang w:val="en-GB"/>
        </w:rPr>
      </w:pPr>
      <w:proofErr w:type="spellStart"/>
      <w:r w:rsidRPr="001F786B">
        <w:rPr>
          <w:b/>
          <w:bCs/>
          <w:lang w:val="en-GB"/>
        </w:rPr>
        <w:t>Cadrul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financiar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și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mecanismul</w:t>
      </w:r>
      <w:proofErr w:type="spellEnd"/>
      <w:r w:rsidRPr="001F786B">
        <w:rPr>
          <w:b/>
          <w:bCs/>
          <w:lang w:val="en-GB"/>
        </w:rPr>
        <w:t xml:space="preserve"> de </w:t>
      </w:r>
      <w:proofErr w:type="spellStart"/>
      <w:r w:rsidRPr="001F786B">
        <w:rPr>
          <w:b/>
          <w:bCs/>
          <w:lang w:val="en-GB"/>
        </w:rPr>
        <w:t>implementare</w:t>
      </w:r>
      <w:proofErr w:type="spellEnd"/>
    </w:p>
    <w:p w14:paraId="54EC2308" w14:textId="77777777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Sprijinul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financiar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este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acordat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printr</w:t>
      </w:r>
      <w:proofErr w:type="spellEnd"/>
      <w:r w:rsidRPr="001F786B">
        <w:rPr>
          <w:lang w:val="en-GB"/>
        </w:rPr>
        <w:t xml:space="preserve">-un </w:t>
      </w:r>
      <w:proofErr w:type="spellStart"/>
      <w:r w:rsidRPr="001F786B">
        <w:rPr>
          <w:lang w:val="en-GB"/>
        </w:rPr>
        <w:t>mecanism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decontare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structurat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destinat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asigurării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transparenței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conformității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legale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trasabilității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fondurilor</w:t>
      </w:r>
      <w:proofErr w:type="spellEnd"/>
      <w:r w:rsidRPr="001F786B">
        <w:rPr>
          <w:lang w:val="en-GB"/>
        </w:rPr>
        <w:t xml:space="preserve"> pe </w:t>
      </w:r>
      <w:proofErr w:type="spellStart"/>
      <w:r w:rsidRPr="001F786B">
        <w:rPr>
          <w:lang w:val="en-GB"/>
        </w:rPr>
        <w:t>parcursul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implementării</w:t>
      </w:r>
      <w:proofErr w:type="spellEnd"/>
      <w:r w:rsidRPr="001F786B">
        <w:rPr>
          <w:lang w:val="en-GB"/>
        </w:rPr>
        <w:t xml:space="preserve">. </w:t>
      </w:r>
      <w:proofErr w:type="spellStart"/>
      <w:r w:rsidRPr="001F786B">
        <w:rPr>
          <w:lang w:val="en-GB"/>
        </w:rPr>
        <w:t>Beneficiarii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eligibili</w:t>
      </w:r>
      <w:proofErr w:type="spellEnd"/>
      <w:r w:rsidRPr="001F786B">
        <w:rPr>
          <w:lang w:val="en-GB"/>
        </w:rPr>
        <w:t xml:space="preserve"> au </w:t>
      </w:r>
      <w:proofErr w:type="spellStart"/>
      <w:r w:rsidRPr="001F786B">
        <w:rPr>
          <w:lang w:val="en-GB"/>
        </w:rPr>
        <w:t>accesat</w:t>
      </w:r>
      <w:proofErr w:type="spellEnd"/>
      <w:r w:rsidRPr="001F786B">
        <w:rPr>
          <w:lang w:val="en-GB"/>
        </w:rPr>
        <w:t xml:space="preserve"> prima </w:t>
      </w:r>
      <w:proofErr w:type="spellStart"/>
      <w:r w:rsidRPr="001F786B">
        <w:rPr>
          <w:lang w:val="en-GB"/>
        </w:rPr>
        <w:t>tranșă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finanțare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reprezentând</w:t>
      </w:r>
      <w:proofErr w:type="spellEnd"/>
      <w:r w:rsidRPr="001F786B">
        <w:rPr>
          <w:lang w:val="en-GB"/>
        </w:rPr>
        <w:t xml:space="preserve"> 80% din </w:t>
      </w:r>
      <w:proofErr w:type="spellStart"/>
      <w:r w:rsidRPr="001F786B">
        <w:rPr>
          <w:lang w:val="en-GB"/>
        </w:rPr>
        <w:t>valoarea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totală</w:t>
      </w:r>
      <w:proofErr w:type="spellEnd"/>
      <w:r w:rsidRPr="001F786B">
        <w:rPr>
          <w:lang w:val="en-GB"/>
        </w:rPr>
        <w:t xml:space="preserve"> </w:t>
      </w:r>
      <w:proofErr w:type="gramStart"/>
      <w:r w:rsidRPr="001F786B">
        <w:rPr>
          <w:lang w:val="en-GB"/>
        </w:rPr>
        <w:t>a</w:t>
      </w:r>
      <w:proofErr w:type="gram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ajutorului</w:t>
      </w:r>
      <w:proofErr w:type="spellEnd"/>
      <w:r w:rsidRPr="001F786B">
        <w:rPr>
          <w:lang w:val="en-GB"/>
        </w:rPr>
        <w:t xml:space="preserve"> de minimis.</w:t>
      </w:r>
    </w:p>
    <w:p w14:paraId="0208D07D" w14:textId="77777777" w:rsidR="001F786B" w:rsidRPr="001F786B" w:rsidRDefault="001F786B" w:rsidP="001F786B">
      <w:pPr>
        <w:jc w:val="both"/>
        <w:rPr>
          <w:lang w:val="en-GB"/>
        </w:rPr>
      </w:pPr>
      <w:r w:rsidRPr="001F786B">
        <w:rPr>
          <w:lang w:val="en-GB"/>
        </w:rPr>
        <w:t xml:space="preserve">Plata </w:t>
      </w:r>
      <w:proofErr w:type="spellStart"/>
      <w:r w:rsidRPr="001F786B">
        <w:rPr>
          <w:lang w:val="en-GB"/>
        </w:rPr>
        <w:t>primei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tranșe</w:t>
      </w:r>
      <w:proofErr w:type="spellEnd"/>
      <w:r w:rsidRPr="001F786B">
        <w:rPr>
          <w:lang w:val="en-GB"/>
        </w:rPr>
        <w:t xml:space="preserve"> a </w:t>
      </w:r>
      <w:proofErr w:type="spellStart"/>
      <w:r w:rsidRPr="001F786B">
        <w:rPr>
          <w:lang w:val="en-GB"/>
        </w:rPr>
        <w:t>fost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realizată</w:t>
      </w:r>
      <w:proofErr w:type="spellEnd"/>
      <w:r w:rsidRPr="001F786B">
        <w:rPr>
          <w:lang w:val="en-GB"/>
        </w:rPr>
        <w:t xml:space="preserve"> la </w:t>
      </w:r>
      <w:proofErr w:type="spellStart"/>
      <w:r w:rsidRPr="001F786B">
        <w:rPr>
          <w:lang w:val="en-GB"/>
        </w:rPr>
        <w:t>finalul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lunii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decembrie</w:t>
      </w:r>
      <w:proofErr w:type="spellEnd"/>
      <w:r w:rsidRPr="001F786B">
        <w:rPr>
          <w:lang w:val="en-GB"/>
        </w:rPr>
        <w:t xml:space="preserve"> 2025,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urma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verificărilor</w:t>
      </w:r>
      <w:proofErr w:type="spellEnd"/>
      <w:r w:rsidRPr="001F786B">
        <w:rPr>
          <w:lang w:val="en-GB"/>
        </w:rPr>
        <w:t xml:space="preserve"> administrative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tehnice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permițând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demararea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activităților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economice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anul</w:t>
      </w:r>
      <w:proofErr w:type="spellEnd"/>
      <w:r w:rsidRPr="001F786B">
        <w:rPr>
          <w:lang w:val="en-GB"/>
        </w:rPr>
        <w:t xml:space="preserve"> 2026. </w:t>
      </w:r>
      <w:proofErr w:type="spellStart"/>
      <w:r w:rsidRPr="001F786B">
        <w:rPr>
          <w:lang w:val="en-GB"/>
        </w:rPr>
        <w:t>Evaluarea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cererilor</w:t>
      </w:r>
      <w:proofErr w:type="spellEnd"/>
      <w:r w:rsidRPr="001F786B">
        <w:rPr>
          <w:lang w:val="en-GB"/>
        </w:rPr>
        <w:t xml:space="preserve"> </w:t>
      </w:r>
      <w:proofErr w:type="gramStart"/>
      <w:r w:rsidRPr="001F786B">
        <w:rPr>
          <w:lang w:val="en-GB"/>
        </w:rPr>
        <w:t>a</w:t>
      </w:r>
      <w:proofErr w:type="gram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avut</w:t>
      </w:r>
      <w:proofErr w:type="spellEnd"/>
      <w:r w:rsidRPr="001F786B">
        <w:rPr>
          <w:lang w:val="en-GB"/>
        </w:rPr>
        <w:t xml:space="preserve"> la </w:t>
      </w:r>
      <w:proofErr w:type="spellStart"/>
      <w:r w:rsidRPr="001F786B">
        <w:rPr>
          <w:lang w:val="en-GB"/>
        </w:rPr>
        <w:t>bază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respectarea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cadrului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normativ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îndeplinirea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criteriilor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eligibilitate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conformitatea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privind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localizarea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mediul</w:t>
      </w:r>
      <w:proofErr w:type="spellEnd"/>
      <w:r w:rsidRPr="001F786B">
        <w:rPr>
          <w:lang w:val="en-GB"/>
        </w:rPr>
        <w:t xml:space="preserve"> urban al </w:t>
      </w:r>
      <w:proofErr w:type="spellStart"/>
      <w:r w:rsidRPr="001F786B">
        <w:rPr>
          <w:lang w:val="en-GB"/>
        </w:rPr>
        <w:t>regiunii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implementare</w:t>
      </w:r>
      <w:proofErr w:type="spellEnd"/>
      <w:r w:rsidRPr="001F786B">
        <w:rPr>
          <w:lang w:val="en-GB"/>
        </w:rPr>
        <w:t>.</w:t>
      </w:r>
    </w:p>
    <w:p w14:paraId="2732F213" w14:textId="77777777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Ajutorul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financiar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este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structurat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două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tranșe</w:t>
      </w:r>
      <w:proofErr w:type="spellEnd"/>
      <w:r w:rsidRPr="001F786B">
        <w:rPr>
          <w:lang w:val="en-GB"/>
        </w:rPr>
        <w:t xml:space="preserve">, conform </w:t>
      </w:r>
      <w:proofErr w:type="spellStart"/>
      <w:r w:rsidRPr="001F786B">
        <w:rPr>
          <w:lang w:val="en-GB"/>
        </w:rPr>
        <w:t>prevederilor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contractuale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facilitând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atât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inițierea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activităților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cât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consolidarea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capacității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economice</w:t>
      </w:r>
      <w:proofErr w:type="spellEnd"/>
      <w:r w:rsidRPr="001F786B">
        <w:rPr>
          <w:lang w:val="en-GB"/>
        </w:rPr>
        <w:t xml:space="preserve"> a </w:t>
      </w:r>
      <w:proofErr w:type="spellStart"/>
      <w:r w:rsidRPr="001F786B">
        <w:rPr>
          <w:lang w:val="en-GB"/>
        </w:rPr>
        <w:t>întreprinderilor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sociale</w:t>
      </w:r>
      <w:proofErr w:type="spellEnd"/>
      <w:r w:rsidRPr="001F786B">
        <w:rPr>
          <w:lang w:val="en-GB"/>
        </w:rPr>
        <w:t>.</w:t>
      </w:r>
    </w:p>
    <w:p w14:paraId="687D9240" w14:textId="77777777" w:rsidR="001F786B" w:rsidRPr="001F786B" w:rsidRDefault="001F786B" w:rsidP="001F786B">
      <w:pPr>
        <w:jc w:val="both"/>
        <w:rPr>
          <w:b/>
          <w:bCs/>
          <w:lang w:val="en-GB"/>
        </w:rPr>
      </w:pPr>
      <w:proofErr w:type="spellStart"/>
      <w:r w:rsidRPr="001F786B">
        <w:rPr>
          <w:b/>
          <w:bCs/>
          <w:lang w:val="en-GB"/>
        </w:rPr>
        <w:t>Operaționalizarea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întreprinderilor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sociale</w:t>
      </w:r>
      <w:proofErr w:type="spellEnd"/>
    </w:p>
    <w:p w14:paraId="34609FCE" w14:textId="77777777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Accesarea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finanțării</w:t>
      </w:r>
      <w:proofErr w:type="spellEnd"/>
      <w:r w:rsidRPr="001F786B">
        <w:rPr>
          <w:lang w:val="en-GB"/>
        </w:rPr>
        <w:t xml:space="preserve"> a </w:t>
      </w:r>
      <w:proofErr w:type="spellStart"/>
      <w:r w:rsidRPr="001F786B">
        <w:rPr>
          <w:lang w:val="en-GB"/>
        </w:rPr>
        <w:t>permis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operaționalizarea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întreprinderilor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realizarea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investițiilor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inițiale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organizarea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activităților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curente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crearea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locurilor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muncă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asumate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planurile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afaceri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aprobate</w:t>
      </w:r>
      <w:proofErr w:type="spellEnd"/>
      <w:r w:rsidRPr="001F786B">
        <w:rPr>
          <w:lang w:val="en-GB"/>
        </w:rPr>
        <w:t xml:space="preserve">. </w:t>
      </w:r>
      <w:proofErr w:type="spellStart"/>
      <w:r w:rsidRPr="001F786B">
        <w:rPr>
          <w:lang w:val="en-GB"/>
        </w:rPr>
        <w:t>Prioritatea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acordată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persoanelor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aflate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situații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vulnerabilitate</w:t>
      </w:r>
      <w:proofErr w:type="spellEnd"/>
      <w:r w:rsidRPr="001F786B">
        <w:rPr>
          <w:lang w:val="en-GB"/>
        </w:rPr>
        <w:t xml:space="preserve"> pe </w:t>
      </w:r>
      <w:proofErr w:type="spellStart"/>
      <w:r w:rsidRPr="001F786B">
        <w:rPr>
          <w:lang w:val="en-GB"/>
        </w:rPr>
        <w:t>piața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muncii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reflectă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dimensiunea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 </w:t>
      </w:r>
      <w:proofErr w:type="gramStart"/>
      <w:r w:rsidRPr="001F786B">
        <w:rPr>
          <w:lang w:val="en-GB"/>
        </w:rPr>
        <w:t>a</w:t>
      </w:r>
      <w:proofErr w:type="gram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intervenției</w:t>
      </w:r>
      <w:proofErr w:type="spellEnd"/>
      <w:r w:rsidRPr="001F786B">
        <w:rPr>
          <w:lang w:val="en-GB"/>
        </w:rPr>
        <w:t>.</w:t>
      </w:r>
    </w:p>
    <w:p w14:paraId="79DF73A8" w14:textId="77777777" w:rsidR="001F786B" w:rsidRDefault="001F786B" w:rsidP="001F786B">
      <w:pPr>
        <w:jc w:val="both"/>
        <w:rPr>
          <w:lang w:val="en-GB"/>
        </w:rPr>
      </w:pPr>
      <w:r w:rsidRPr="001F786B">
        <w:rPr>
          <w:lang w:val="en-GB"/>
        </w:rPr>
        <w:t xml:space="preserve">Prin </w:t>
      </w:r>
      <w:proofErr w:type="spellStart"/>
      <w:r w:rsidRPr="001F786B">
        <w:rPr>
          <w:lang w:val="en-GB"/>
        </w:rPr>
        <w:t>implementarea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acestor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inițiative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economia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contribuie</w:t>
      </w:r>
      <w:proofErr w:type="spellEnd"/>
      <w:r w:rsidRPr="001F786B">
        <w:rPr>
          <w:lang w:val="en-GB"/>
        </w:rPr>
        <w:t xml:space="preserve"> la </w:t>
      </w:r>
      <w:proofErr w:type="spellStart"/>
      <w:r w:rsidRPr="001F786B">
        <w:rPr>
          <w:lang w:val="en-GB"/>
        </w:rPr>
        <w:t>dinamizarea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mediului</w:t>
      </w:r>
      <w:proofErr w:type="spellEnd"/>
      <w:r w:rsidRPr="001F786B">
        <w:rPr>
          <w:lang w:val="en-GB"/>
        </w:rPr>
        <w:t xml:space="preserve"> urban, la </w:t>
      </w:r>
      <w:proofErr w:type="spellStart"/>
      <w:r w:rsidRPr="001F786B">
        <w:rPr>
          <w:lang w:val="en-GB"/>
        </w:rPr>
        <w:t>creșterea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ocupării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forței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muncă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la </w:t>
      </w:r>
      <w:proofErr w:type="spellStart"/>
      <w:r w:rsidRPr="001F786B">
        <w:rPr>
          <w:lang w:val="en-GB"/>
        </w:rPr>
        <w:t>furnizarea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servicii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produse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adaptate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nevoilor</w:t>
      </w:r>
      <w:proofErr w:type="spellEnd"/>
      <w:r w:rsidRPr="001F786B">
        <w:rPr>
          <w:lang w:val="en-GB"/>
        </w:rPr>
        <w:t xml:space="preserve"> locale.</w:t>
      </w:r>
    </w:p>
    <w:p w14:paraId="7A887DF8" w14:textId="77777777" w:rsidR="001F786B" w:rsidRDefault="001F786B" w:rsidP="001F786B">
      <w:pPr>
        <w:jc w:val="both"/>
        <w:rPr>
          <w:lang w:val="en-GB"/>
        </w:rPr>
      </w:pPr>
    </w:p>
    <w:p w14:paraId="2B48790D" w14:textId="77777777" w:rsidR="001F786B" w:rsidRPr="001F786B" w:rsidRDefault="001F786B" w:rsidP="001F786B">
      <w:pPr>
        <w:jc w:val="both"/>
        <w:rPr>
          <w:lang w:val="en-GB"/>
        </w:rPr>
      </w:pPr>
    </w:p>
    <w:p w14:paraId="0C64DB5C" w14:textId="77777777" w:rsidR="001F786B" w:rsidRPr="001F786B" w:rsidRDefault="001F786B" w:rsidP="001F786B">
      <w:pPr>
        <w:jc w:val="both"/>
        <w:rPr>
          <w:b/>
          <w:bCs/>
          <w:lang w:val="en-GB"/>
        </w:rPr>
      </w:pPr>
      <w:proofErr w:type="spellStart"/>
      <w:r w:rsidRPr="001F786B">
        <w:rPr>
          <w:b/>
          <w:bCs/>
          <w:lang w:val="en-GB"/>
        </w:rPr>
        <w:t>Monitorizare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și</w:t>
      </w:r>
      <w:proofErr w:type="spellEnd"/>
      <w:r w:rsidRPr="001F786B">
        <w:rPr>
          <w:b/>
          <w:bCs/>
          <w:lang w:val="en-GB"/>
        </w:rPr>
        <w:t xml:space="preserve"> </w:t>
      </w:r>
      <w:proofErr w:type="spellStart"/>
      <w:r w:rsidRPr="001F786B">
        <w:rPr>
          <w:b/>
          <w:bCs/>
          <w:lang w:val="en-GB"/>
        </w:rPr>
        <w:t>sustenabilitate</w:t>
      </w:r>
      <w:proofErr w:type="spellEnd"/>
    </w:p>
    <w:p w14:paraId="14401E7C" w14:textId="218D895D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Implementarea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proiectului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anul</w:t>
      </w:r>
      <w:proofErr w:type="spellEnd"/>
      <w:r w:rsidRPr="001F786B">
        <w:rPr>
          <w:lang w:val="en-GB"/>
        </w:rPr>
        <w:t xml:space="preserve"> 2026 </w:t>
      </w:r>
      <w:proofErr w:type="spellStart"/>
      <w:r w:rsidRPr="001F786B">
        <w:rPr>
          <w:lang w:val="en-GB"/>
        </w:rPr>
        <w:t>este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susținută</w:t>
      </w:r>
      <w:proofErr w:type="spellEnd"/>
      <w:r w:rsidRPr="001F786B">
        <w:rPr>
          <w:lang w:val="en-GB"/>
        </w:rPr>
        <w:t xml:space="preserve"> de un </w:t>
      </w:r>
      <w:proofErr w:type="spellStart"/>
      <w:r w:rsidRPr="001F786B">
        <w:rPr>
          <w:lang w:val="en-GB"/>
        </w:rPr>
        <w:t>sistem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monitorizare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continuă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orientat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spre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evaluarea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progresului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dezvolt</w:t>
      </w:r>
      <w:r>
        <w:rPr>
          <w:lang w:val="en-GB"/>
        </w:rPr>
        <w:t>a</w:t>
      </w:r>
      <w:r w:rsidRPr="001F786B">
        <w:rPr>
          <w:lang w:val="en-GB"/>
        </w:rPr>
        <w:t>r</w:t>
      </w:r>
      <w:r>
        <w:rPr>
          <w:lang w:val="en-GB"/>
        </w:rPr>
        <w:t>ea</w:t>
      </w:r>
      <w:proofErr w:type="spellEnd"/>
      <w:r w:rsidRPr="001F786B">
        <w:rPr>
          <w:lang w:val="en-GB"/>
        </w:rPr>
        <w:t xml:space="preserve"> pe termen </w:t>
      </w:r>
      <w:proofErr w:type="spellStart"/>
      <w:r w:rsidRPr="001F786B">
        <w:rPr>
          <w:lang w:val="en-GB"/>
        </w:rPr>
        <w:t>mediu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lung a </w:t>
      </w:r>
      <w:proofErr w:type="spellStart"/>
      <w:r w:rsidRPr="001F786B">
        <w:rPr>
          <w:lang w:val="en-GB"/>
        </w:rPr>
        <w:t>întreprinderilor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sociale</w:t>
      </w:r>
      <w:proofErr w:type="spellEnd"/>
      <w:r w:rsidRPr="001F786B">
        <w:rPr>
          <w:lang w:val="en-GB"/>
        </w:rPr>
        <w:t xml:space="preserve">. </w:t>
      </w:r>
      <w:proofErr w:type="spellStart"/>
      <w:r w:rsidRPr="001F786B">
        <w:rPr>
          <w:lang w:val="en-GB"/>
        </w:rPr>
        <w:t>Mecanismul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monitorizare</w:t>
      </w:r>
      <w:proofErr w:type="spellEnd"/>
      <w:r w:rsidRPr="001F786B">
        <w:rPr>
          <w:lang w:val="en-GB"/>
        </w:rPr>
        <w:t xml:space="preserve"> include </w:t>
      </w:r>
      <w:proofErr w:type="spellStart"/>
      <w:r w:rsidRPr="001F786B">
        <w:rPr>
          <w:lang w:val="en-GB"/>
        </w:rPr>
        <w:t>raportări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periodice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interacțiuni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instituționale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constante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vizite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evaluare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teren</w:t>
      </w:r>
      <w:proofErr w:type="spellEnd"/>
      <w:r w:rsidRPr="001F786B">
        <w:rPr>
          <w:lang w:val="en-GB"/>
        </w:rPr>
        <w:t>.</w:t>
      </w:r>
    </w:p>
    <w:p w14:paraId="7ADE2827" w14:textId="77777777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Accentul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este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plasat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atât</w:t>
      </w:r>
      <w:proofErr w:type="spellEnd"/>
      <w:r w:rsidRPr="001F786B">
        <w:rPr>
          <w:lang w:val="en-GB"/>
        </w:rPr>
        <w:t xml:space="preserve"> pe </w:t>
      </w:r>
      <w:proofErr w:type="spellStart"/>
      <w:r w:rsidRPr="001F786B">
        <w:rPr>
          <w:lang w:val="en-GB"/>
        </w:rPr>
        <w:t>respectarea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indicatorilor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asumați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cât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pe </w:t>
      </w:r>
      <w:proofErr w:type="spellStart"/>
      <w:r w:rsidRPr="001F786B">
        <w:rPr>
          <w:lang w:val="en-GB"/>
        </w:rPr>
        <w:t>asigurarea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sustenabilității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economice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menținerea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locurilor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muncă</w:t>
      </w:r>
      <w:proofErr w:type="spellEnd"/>
      <w:r w:rsidRPr="001F786B">
        <w:rPr>
          <w:lang w:val="en-GB"/>
        </w:rPr>
        <w:t xml:space="preserve"> create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consolidarea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capacității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generare</w:t>
      </w:r>
      <w:proofErr w:type="spellEnd"/>
      <w:r w:rsidRPr="001F786B">
        <w:rPr>
          <w:lang w:val="en-GB"/>
        </w:rPr>
        <w:t xml:space="preserve"> </w:t>
      </w:r>
      <w:proofErr w:type="gramStart"/>
      <w:r w:rsidRPr="001F786B">
        <w:rPr>
          <w:lang w:val="en-GB"/>
        </w:rPr>
        <w:t>a</w:t>
      </w:r>
      <w:proofErr w:type="gram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impactului</w:t>
      </w:r>
      <w:proofErr w:type="spellEnd"/>
      <w:r w:rsidRPr="001F786B">
        <w:rPr>
          <w:lang w:val="en-GB"/>
        </w:rPr>
        <w:t xml:space="preserve"> social.</w:t>
      </w:r>
    </w:p>
    <w:p w14:paraId="0D38D975" w14:textId="77777777" w:rsidR="001F786B" w:rsidRPr="001F786B" w:rsidRDefault="001F786B" w:rsidP="001F786B">
      <w:pPr>
        <w:jc w:val="both"/>
        <w:rPr>
          <w:lang w:val="en-GB"/>
        </w:rPr>
      </w:pPr>
      <w:proofErr w:type="spellStart"/>
      <w:r w:rsidRPr="001F786B">
        <w:rPr>
          <w:lang w:val="en-GB"/>
        </w:rPr>
        <w:t>Acordarea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primei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tranșe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finanțare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inițierea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activităților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economice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marchează</w:t>
      </w:r>
      <w:proofErr w:type="spellEnd"/>
      <w:r w:rsidRPr="001F786B">
        <w:rPr>
          <w:lang w:val="en-GB"/>
        </w:rPr>
        <w:t xml:space="preserve"> un moment determinant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implementarea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Proiectului</w:t>
      </w:r>
      <w:proofErr w:type="spellEnd"/>
      <w:r w:rsidRPr="001F786B">
        <w:rPr>
          <w:lang w:val="en-GB"/>
        </w:rPr>
        <w:t xml:space="preserve"> „</w:t>
      </w:r>
      <w:proofErr w:type="spellStart"/>
      <w:r w:rsidRPr="001F786B">
        <w:rPr>
          <w:lang w:val="en-GB"/>
        </w:rPr>
        <w:t>Dinamism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dezvoltare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urbană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prin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economia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”. Anul 2026 </w:t>
      </w:r>
      <w:proofErr w:type="spellStart"/>
      <w:r w:rsidRPr="001F786B">
        <w:rPr>
          <w:lang w:val="en-GB"/>
        </w:rPr>
        <w:t>reprezintă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începutul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unei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etape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consolidare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în</w:t>
      </w:r>
      <w:proofErr w:type="spellEnd"/>
      <w:r w:rsidRPr="001F786B">
        <w:rPr>
          <w:lang w:val="en-GB"/>
        </w:rPr>
        <w:t xml:space="preserve"> care </w:t>
      </w:r>
      <w:proofErr w:type="spellStart"/>
      <w:r w:rsidRPr="001F786B">
        <w:rPr>
          <w:lang w:val="en-GB"/>
        </w:rPr>
        <w:t>economia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este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valorificată</w:t>
      </w:r>
      <w:proofErr w:type="spellEnd"/>
      <w:r w:rsidRPr="001F786B">
        <w:rPr>
          <w:lang w:val="en-GB"/>
        </w:rPr>
        <w:t xml:space="preserve"> ca </w:t>
      </w:r>
      <w:proofErr w:type="spellStart"/>
      <w:r w:rsidRPr="001F786B">
        <w:rPr>
          <w:lang w:val="en-GB"/>
        </w:rPr>
        <w:t>mecanism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funcțional</w:t>
      </w:r>
      <w:proofErr w:type="spellEnd"/>
      <w:r w:rsidRPr="001F786B">
        <w:rPr>
          <w:lang w:val="en-GB"/>
        </w:rPr>
        <w:t xml:space="preserve"> de </w:t>
      </w:r>
      <w:proofErr w:type="spellStart"/>
      <w:r w:rsidRPr="001F786B">
        <w:rPr>
          <w:lang w:val="en-GB"/>
        </w:rPr>
        <w:t>incluziune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socială</w:t>
      </w:r>
      <w:proofErr w:type="spellEnd"/>
      <w:r w:rsidRPr="001F786B">
        <w:rPr>
          <w:lang w:val="en-GB"/>
        </w:rPr>
        <w:t xml:space="preserve">, </w:t>
      </w:r>
      <w:proofErr w:type="spellStart"/>
      <w:r w:rsidRPr="001F786B">
        <w:rPr>
          <w:lang w:val="en-GB"/>
        </w:rPr>
        <w:t>coeziune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comunitară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și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dezvoltare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durabilă</w:t>
      </w:r>
      <w:proofErr w:type="spellEnd"/>
      <w:r w:rsidRPr="001F786B">
        <w:rPr>
          <w:lang w:val="en-GB"/>
        </w:rPr>
        <w:t xml:space="preserve"> </w:t>
      </w:r>
      <w:proofErr w:type="spellStart"/>
      <w:r w:rsidRPr="001F786B">
        <w:rPr>
          <w:lang w:val="en-GB"/>
        </w:rPr>
        <w:t>urbană</w:t>
      </w:r>
      <w:proofErr w:type="spellEnd"/>
      <w:r w:rsidRPr="001F786B">
        <w:rPr>
          <w:lang w:val="en-GB"/>
        </w:rPr>
        <w:t>.</w:t>
      </w:r>
    </w:p>
    <w:p w14:paraId="02D87336" w14:textId="77777777" w:rsidR="001F786B" w:rsidRPr="00446D6D" w:rsidRDefault="001F786B" w:rsidP="00446D6D">
      <w:pPr>
        <w:rPr>
          <w:lang w:val="en-GB"/>
        </w:rPr>
      </w:pPr>
    </w:p>
    <w:sectPr w:rsidR="001F786B" w:rsidRPr="00446D6D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E2A5" w14:textId="77777777" w:rsidR="00B743B7" w:rsidRDefault="00B743B7" w:rsidP="00D01B5D">
      <w:pPr>
        <w:spacing w:after="0" w:line="240" w:lineRule="auto"/>
      </w:pPr>
      <w:r>
        <w:separator/>
      </w:r>
    </w:p>
  </w:endnote>
  <w:endnote w:type="continuationSeparator" w:id="0">
    <w:p w14:paraId="66DE1216" w14:textId="77777777" w:rsidR="00B743B7" w:rsidRDefault="00B743B7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2B0000" w14:paraId="426E871C" w14:textId="77777777" w:rsidTr="002B0000">
      <w:trPr>
        <w:trHeight w:val="284"/>
      </w:trPr>
      <w:tc>
        <w:tcPr>
          <w:tcW w:w="7655" w:type="dxa"/>
        </w:tcPr>
        <w:p w14:paraId="68811CDC" w14:textId="77777777" w:rsidR="00A21EED" w:rsidRPr="002B0000" w:rsidRDefault="00A21EED" w:rsidP="00A21EED">
          <w:pPr>
            <w:pStyle w:val="Footer"/>
            <w:rPr>
              <w:sz w:val="18"/>
              <w:szCs w:val="18"/>
            </w:rPr>
          </w:pPr>
          <w:r w:rsidRPr="002B0000">
            <w:rPr>
              <w:sz w:val="18"/>
              <w:szCs w:val="18"/>
            </w:rPr>
            <w:t>Contract PEO/103/PEO_P4/OP4/ESO4.1/PEO_A52/313367</w:t>
          </w:r>
        </w:p>
        <w:p w14:paraId="15EAB42B" w14:textId="37E209BE" w:rsidR="00D01B5D" w:rsidRPr="004C3C86" w:rsidRDefault="00A21EED" w:rsidP="00A21EED">
          <w:pPr>
            <w:pStyle w:val="Footer"/>
          </w:pPr>
          <w:r w:rsidRPr="002B0000">
            <w:rPr>
              <w:sz w:val="18"/>
              <w:szCs w:val="18"/>
            </w:rPr>
            <w:t>Proiect</w:t>
          </w:r>
          <w:r w:rsidRPr="002B0000">
            <w:rPr>
              <w:b/>
              <w:bCs/>
              <w:sz w:val="18"/>
              <w:szCs w:val="18"/>
            </w:rPr>
            <w:t xml:space="preserve"> cofinanțat de Uniunea Europeană</w:t>
          </w:r>
          <w:r w:rsidRPr="002B0000">
            <w:rPr>
              <w:sz w:val="18"/>
              <w:szCs w:val="18"/>
            </w:rPr>
            <w:t xml:space="preserve"> prin PROGRAMUL EDUCAȚIE ȘI OCUPARE 2021-2027</w:t>
          </w:r>
        </w:p>
      </w:tc>
      <w:tc>
        <w:tcPr>
          <w:tcW w:w="1641" w:type="dxa"/>
        </w:tcPr>
        <w:p w14:paraId="680E81D4" w14:textId="77777777" w:rsidR="00D01B5D" w:rsidRPr="002B0000" w:rsidRDefault="00D01B5D" w:rsidP="00D01B5D">
          <w:pPr>
            <w:pStyle w:val="Footer"/>
            <w:jc w:val="right"/>
            <w:rPr>
              <w:sz w:val="18"/>
              <w:szCs w:val="18"/>
            </w:rPr>
          </w:pPr>
          <w:r w:rsidRPr="002B0000">
            <w:rPr>
              <w:sz w:val="18"/>
              <w:szCs w:val="18"/>
            </w:rPr>
            <w:t xml:space="preserve">Pagina: </w:t>
          </w:r>
          <w:r w:rsidR="00927164" w:rsidRPr="002B0000">
            <w:rPr>
              <w:sz w:val="18"/>
              <w:szCs w:val="18"/>
            </w:rPr>
            <w:fldChar w:fldCharType="begin"/>
          </w:r>
          <w:r w:rsidRPr="002B0000">
            <w:rPr>
              <w:sz w:val="18"/>
              <w:szCs w:val="18"/>
            </w:rPr>
            <w:instrText xml:space="preserve"> PAGE   \* MERGEFORMAT </w:instrText>
          </w:r>
          <w:r w:rsidR="00927164" w:rsidRPr="002B0000">
            <w:rPr>
              <w:sz w:val="18"/>
              <w:szCs w:val="18"/>
            </w:rPr>
            <w:fldChar w:fldCharType="separate"/>
          </w:r>
          <w:r w:rsidR="00A33D39" w:rsidRPr="002B0000">
            <w:rPr>
              <w:noProof/>
              <w:sz w:val="18"/>
              <w:szCs w:val="18"/>
            </w:rPr>
            <w:t>1</w:t>
          </w:r>
          <w:r w:rsidR="00927164" w:rsidRPr="002B0000">
            <w:rPr>
              <w:sz w:val="18"/>
              <w:szCs w:val="18"/>
            </w:rPr>
            <w:fldChar w:fldCharType="end"/>
          </w:r>
          <w:r w:rsidRPr="002B0000">
            <w:rPr>
              <w:sz w:val="18"/>
              <w:szCs w:val="18"/>
            </w:rPr>
            <w:t>/</w:t>
          </w:r>
          <w:r w:rsidR="00A33D39" w:rsidRPr="002B0000">
            <w:rPr>
              <w:sz w:val="18"/>
              <w:szCs w:val="18"/>
            </w:rPr>
            <w:fldChar w:fldCharType="begin"/>
          </w:r>
          <w:r w:rsidR="00A33D39" w:rsidRPr="002B0000">
            <w:rPr>
              <w:sz w:val="18"/>
              <w:szCs w:val="18"/>
            </w:rPr>
            <w:instrText xml:space="preserve"> NUMPAGES   \* MERGEFORMAT </w:instrText>
          </w:r>
          <w:r w:rsidR="00A33D39" w:rsidRPr="002B0000">
            <w:rPr>
              <w:sz w:val="18"/>
              <w:szCs w:val="18"/>
            </w:rPr>
            <w:fldChar w:fldCharType="separate"/>
          </w:r>
          <w:r w:rsidR="00A33D39" w:rsidRPr="002B0000">
            <w:rPr>
              <w:noProof/>
              <w:sz w:val="18"/>
              <w:szCs w:val="18"/>
            </w:rPr>
            <w:t>1</w:t>
          </w:r>
          <w:r w:rsidR="00A33D39" w:rsidRPr="002B0000">
            <w:rPr>
              <w:noProof/>
              <w:sz w:val="18"/>
              <w:szCs w:val="18"/>
            </w:rPr>
            <w:fldChar w:fldCharType="end"/>
          </w:r>
        </w:p>
        <w:p w14:paraId="0F97824D" w14:textId="77777777" w:rsidR="00D01B5D" w:rsidRPr="002B0000" w:rsidRDefault="00D01B5D" w:rsidP="00D01B5D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0072" w14:textId="77777777" w:rsidR="00B743B7" w:rsidRDefault="00B743B7" w:rsidP="00D01B5D">
      <w:pPr>
        <w:spacing w:after="0" w:line="240" w:lineRule="auto"/>
      </w:pPr>
      <w:r>
        <w:separator/>
      </w:r>
    </w:p>
  </w:footnote>
  <w:footnote w:type="continuationSeparator" w:id="0">
    <w:p w14:paraId="7BCD648F" w14:textId="77777777" w:rsidR="00B743B7" w:rsidRDefault="00B743B7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1024"/>
    <w:multiLevelType w:val="multilevel"/>
    <w:tmpl w:val="D1F66C20"/>
    <w:lvl w:ilvl="0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36"/>
        </w:tabs>
        <w:ind w:left="9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56"/>
        </w:tabs>
        <w:ind w:left="10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96"/>
        </w:tabs>
        <w:ind w:left="11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16"/>
        </w:tabs>
        <w:ind w:left="122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4EFC"/>
    <w:multiLevelType w:val="multilevel"/>
    <w:tmpl w:val="D54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6067A"/>
    <w:multiLevelType w:val="multilevel"/>
    <w:tmpl w:val="328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649C6"/>
    <w:multiLevelType w:val="multilevel"/>
    <w:tmpl w:val="D33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43701"/>
    <w:multiLevelType w:val="multilevel"/>
    <w:tmpl w:val="C14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B02A4"/>
    <w:multiLevelType w:val="multilevel"/>
    <w:tmpl w:val="EFA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94CCA"/>
    <w:multiLevelType w:val="hybridMultilevel"/>
    <w:tmpl w:val="416636BA"/>
    <w:lvl w:ilvl="0" w:tplc="1046D3AA">
      <w:start w:val="1"/>
      <w:numFmt w:val="decimal"/>
      <w:lvlText w:val="%1."/>
      <w:lvlJc w:val="left"/>
      <w:pPr>
        <w:ind w:left="720" w:hanging="360"/>
      </w:pPr>
      <w:rPr>
        <w:rFonts w:hint="default"/>
        <w:i/>
        <w:lang w:val="ro-R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1301"/>
    <w:multiLevelType w:val="multilevel"/>
    <w:tmpl w:val="71F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76847"/>
    <w:multiLevelType w:val="multilevel"/>
    <w:tmpl w:val="54B0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16B3F"/>
    <w:multiLevelType w:val="multilevel"/>
    <w:tmpl w:val="2BBA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37026"/>
    <w:multiLevelType w:val="multilevel"/>
    <w:tmpl w:val="5CA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57229">
    <w:abstractNumId w:val="0"/>
  </w:num>
  <w:num w:numId="2" w16cid:durableId="613945830">
    <w:abstractNumId w:val="5"/>
  </w:num>
  <w:num w:numId="3" w16cid:durableId="895166208">
    <w:abstractNumId w:val="4"/>
  </w:num>
  <w:num w:numId="4" w16cid:durableId="1136723284">
    <w:abstractNumId w:val="9"/>
  </w:num>
  <w:num w:numId="5" w16cid:durableId="1556818029">
    <w:abstractNumId w:val="1"/>
  </w:num>
  <w:num w:numId="6" w16cid:durableId="1694728152">
    <w:abstractNumId w:val="2"/>
  </w:num>
  <w:num w:numId="7" w16cid:durableId="2082210027">
    <w:abstractNumId w:val="8"/>
  </w:num>
  <w:num w:numId="8" w16cid:durableId="1170174651">
    <w:abstractNumId w:val="10"/>
  </w:num>
  <w:num w:numId="9" w16cid:durableId="847135996">
    <w:abstractNumId w:val="7"/>
  </w:num>
  <w:num w:numId="10" w16cid:durableId="1798596412">
    <w:abstractNumId w:val="3"/>
  </w:num>
  <w:num w:numId="11" w16cid:durableId="1688095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2077"/>
    <w:rsid w:val="00024686"/>
    <w:rsid w:val="00025EBA"/>
    <w:rsid w:val="00032D1B"/>
    <w:rsid w:val="00073476"/>
    <w:rsid w:val="00097F83"/>
    <w:rsid w:val="00101D66"/>
    <w:rsid w:val="00127773"/>
    <w:rsid w:val="0014073A"/>
    <w:rsid w:val="001A1854"/>
    <w:rsid w:val="001F786B"/>
    <w:rsid w:val="002021D4"/>
    <w:rsid w:val="00234435"/>
    <w:rsid w:val="0024368B"/>
    <w:rsid w:val="00250E79"/>
    <w:rsid w:val="00257314"/>
    <w:rsid w:val="0026126D"/>
    <w:rsid w:val="00264122"/>
    <w:rsid w:val="002B0000"/>
    <w:rsid w:val="002B3F79"/>
    <w:rsid w:val="002C37D5"/>
    <w:rsid w:val="003066A0"/>
    <w:rsid w:val="0032379E"/>
    <w:rsid w:val="0034098E"/>
    <w:rsid w:val="00342ECC"/>
    <w:rsid w:val="00343F1D"/>
    <w:rsid w:val="003440D6"/>
    <w:rsid w:val="003C3CF8"/>
    <w:rsid w:val="003C4F21"/>
    <w:rsid w:val="003D3FB0"/>
    <w:rsid w:val="003E6A49"/>
    <w:rsid w:val="003E6C16"/>
    <w:rsid w:val="003F6D6D"/>
    <w:rsid w:val="004008EF"/>
    <w:rsid w:val="00444AB3"/>
    <w:rsid w:val="00446D6D"/>
    <w:rsid w:val="00472E66"/>
    <w:rsid w:val="0049673B"/>
    <w:rsid w:val="004A650A"/>
    <w:rsid w:val="004C3C86"/>
    <w:rsid w:val="004E704E"/>
    <w:rsid w:val="0051738D"/>
    <w:rsid w:val="00537090"/>
    <w:rsid w:val="0055537C"/>
    <w:rsid w:val="00555627"/>
    <w:rsid w:val="00595DD4"/>
    <w:rsid w:val="005A402E"/>
    <w:rsid w:val="005B246C"/>
    <w:rsid w:val="005D01B0"/>
    <w:rsid w:val="005D0284"/>
    <w:rsid w:val="005D7B5A"/>
    <w:rsid w:val="005E20BD"/>
    <w:rsid w:val="005E2EB7"/>
    <w:rsid w:val="005E5EFD"/>
    <w:rsid w:val="0061615C"/>
    <w:rsid w:val="0062009F"/>
    <w:rsid w:val="00655540"/>
    <w:rsid w:val="00672C41"/>
    <w:rsid w:val="00691E05"/>
    <w:rsid w:val="006950C1"/>
    <w:rsid w:val="006B28EF"/>
    <w:rsid w:val="006C4FF9"/>
    <w:rsid w:val="006E0BB5"/>
    <w:rsid w:val="006E21D8"/>
    <w:rsid w:val="006E689F"/>
    <w:rsid w:val="00781672"/>
    <w:rsid w:val="007B086D"/>
    <w:rsid w:val="007B7B33"/>
    <w:rsid w:val="0082652C"/>
    <w:rsid w:val="008440D6"/>
    <w:rsid w:val="00862186"/>
    <w:rsid w:val="00893E6E"/>
    <w:rsid w:val="008B1598"/>
    <w:rsid w:val="008B1ABE"/>
    <w:rsid w:val="008B1CC8"/>
    <w:rsid w:val="008B4A7F"/>
    <w:rsid w:val="008F0F3A"/>
    <w:rsid w:val="008F5241"/>
    <w:rsid w:val="008F5F20"/>
    <w:rsid w:val="00901E8B"/>
    <w:rsid w:val="00905AE9"/>
    <w:rsid w:val="0091624E"/>
    <w:rsid w:val="00923E23"/>
    <w:rsid w:val="009261C4"/>
    <w:rsid w:val="00927164"/>
    <w:rsid w:val="00962ADB"/>
    <w:rsid w:val="009840B7"/>
    <w:rsid w:val="009C09C1"/>
    <w:rsid w:val="009D4907"/>
    <w:rsid w:val="009E3AD5"/>
    <w:rsid w:val="00A11CFF"/>
    <w:rsid w:val="00A16F31"/>
    <w:rsid w:val="00A21EED"/>
    <w:rsid w:val="00A33D39"/>
    <w:rsid w:val="00A74E54"/>
    <w:rsid w:val="00AC349E"/>
    <w:rsid w:val="00B00916"/>
    <w:rsid w:val="00B20814"/>
    <w:rsid w:val="00B667F0"/>
    <w:rsid w:val="00B743B7"/>
    <w:rsid w:val="00B844FB"/>
    <w:rsid w:val="00BC5C76"/>
    <w:rsid w:val="00C02C31"/>
    <w:rsid w:val="00C067EE"/>
    <w:rsid w:val="00C3616A"/>
    <w:rsid w:val="00C552FA"/>
    <w:rsid w:val="00C6270B"/>
    <w:rsid w:val="00CA167D"/>
    <w:rsid w:val="00CB0669"/>
    <w:rsid w:val="00CB59F9"/>
    <w:rsid w:val="00CE2A84"/>
    <w:rsid w:val="00CE37A4"/>
    <w:rsid w:val="00D01B5D"/>
    <w:rsid w:val="00D93F42"/>
    <w:rsid w:val="00DB61F5"/>
    <w:rsid w:val="00DE722A"/>
    <w:rsid w:val="00E05097"/>
    <w:rsid w:val="00E10D5C"/>
    <w:rsid w:val="00E37987"/>
    <w:rsid w:val="00E90AF7"/>
    <w:rsid w:val="00EC704F"/>
    <w:rsid w:val="00F044CE"/>
    <w:rsid w:val="00F17485"/>
    <w:rsid w:val="00F20DBB"/>
    <w:rsid w:val="00F26334"/>
    <w:rsid w:val="00F652A0"/>
    <w:rsid w:val="00F669FE"/>
    <w:rsid w:val="00F93F03"/>
    <w:rsid w:val="00FB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Heading1">
    <w:name w:val="heading 1"/>
    <w:basedOn w:val="Normal"/>
    <w:next w:val="Normal"/>
    <w:link w:val="Heading1Char"/>
    <w:uiPriority w:val="9"/>
    <w:qFormat/>
    <w:rsid w:val="00A7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8440D6"/>
    <w:rPr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5A40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02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4E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4E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Assoc Tehnic</cp:lastModifiedBy>
  <cp:revision>4</cp:revision>
  <cp:lastPrinted>2024-05-02T08:35:00Z</cp:lastPrinted>
  <dcterms:created xsi:type="dcterms:W3CDTF">2026-01-13T12:21:00Z</dcterms:created>
  <dcterms:modified xsi:type="dcterms:W3CDTF">2026-01-14T09:44:00Z</dcterms:modified>
</cp:coreProperties>
</file>